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European Union – Pakistan Relationship and GSP+ Status</w:t>
      </w:r>
    </w:p>
    <w:p>
      <w:pPr>
        <w:pStyle w:val="Heading2"/>
      </w:pPr>
      <w:r>
        <w:t>1. Overview of EU–Pakistan Relationship</w:t>
      </w:r>
    </w:p>
    <w:p>
      <w:r>
        <w:t>• The European Union (EU) is one of Pakistan’s most important trading partners; bilateral trade is governed by a 2004 Cooperation Agreement and the EU–Pakistan Sub‑Group on Trade.</w:t>
      </w:r>
    </w:p>
    <w:p>
      <w:r>
        <w:t>• Since January 2014, Pakistan has benefited from the GSP+ (Generalised Scheme of Preferences Plus), which allows deep tariff preferences (mostly zero duties) on a large share of its exports to the EU.</w:t>
      </w:r>
    </w:p>
    <w:p>
      <w:r>
        <w:t>• Under GSP+, Pakistan must ratify and effectively implement 27 core international conventions on human rights, labour, environmental protection, and good governance.</w:t>
      </w:r>
    </w:p>
    <w:p>
      <w:pPr>
        <w:pStyle w:val="Heading2"/>
      </w:pPr>
      <w:r>
        <w:t>2. GSP+ Status — Origins &amp; Conditionalities</w:t>
      </w:r>
    </w:p>
    <w:p>
      <w:r>
        <w:t>• Pakistan was granted GSP+ on 1 January 2014, after ratifying the required 27 conventions.</w:t>
      </w:r>
    </w:p>
    <w:p>
      <w:r>
        <w:t>• The scheme covers approximately 66% of EU tariff lines, giving Pakistan preferential (often zero) tariffs on over 6,000 product lines.</w:t>
      </w:r>
    </w:p>
    <w:p>
      <w:r>
        <w:t>• To retain GSP+, Pakistan’s compliance is closely monitored through EU reviews assessing progress on these conventions.</w:t>
      </w:r>
    </w:p>
    <w:p>
      <w:r>
        <w:t>• According to the 4th EU periodic assessment (2020–2022), Pakistan was found compliant with all 27 conventions.</w:t>
      </w:r>
    </w:p>
    <w:p>
      <w:pPr>
        <w:pStyle w:val="Heading2"/>
      </w:pPr>
      <w:r>
        <w:t>3. Trade &amp; Export Benefits for Pakistan</w:t>
      </w:r>
    </w:p>
    <w:p>
      <w:r>
        <w:t>• GSP+ has significantly boosted Pakistan’s exports to the EU: exports rose from €5.9 billion in 2019 to €9.4 billion in 2022.</w:t>
      </w:r>
    </w:p>
    <w:p>
      <w:r>
        <w:t>• Around €8 billion of these exports benefited from zero‑import tariffs under GSP+.</w:t>
      </w:r>
    </w:p>
    <w:p>
      <w:r>
        <w:t>• The majority of Pakistan’s exports to the EU are textiles and clothing (~75–76%), including apparel, yarn, home textiles, surgical goods, and leather.</w:t>
      </w:r>
    </w:p>
    <w:p>
      <w:r>
        <w:t>• Bilateral trade volume with the EU has grown by roughly 78% over seven years under GSP+.</w:t>
      </w:r>
    </w:p>
    <w:p>
      <w:pPr>
        <w:pStyle w:val="Heading2"/>
      </w:pPr>
      <w:r>
        <w:t>4. Challenges &amp; Problems in GSP+ Renewal &amp; Compliance</w:t>
      </w:r>
    </w:p>
    <w:p>
      <w:r>
        <w:t>• Human‑rights concerns persist — the EU links continued GSP+ benefits to progress on issues such as blasphemy laws, freedom of expression, enforced disappearances, and fair trials.</w:t>
      </w:r>
    </w:p>
    <w:p>
      <w:r>
        <w:t>• Risk of suspension remains high; EU critics cite non‑compliance as 'serious and systemic' in some areas.</w:t>
      </w:r>
    </w:p>
    <w:p>
      <w:r>
        <w:t>• Export over‑reliance on textiles and leather makes Pakistan’s trade vulnerable to market or policy shocks.</w:t>
      </w:r>
    </w:p>
    <w:p>
      <w:r>
        <w:t>• Product‑line stagnation in key exports, such as bed linens, shows declining competitiveness in EU markets.</w:t>
      </w:r>
    </w:p>
    <w:p>
      <w:r>
        <w:t>• Governance issues — weak labour rights enforcement, political interference, and corruption — often appear in EU monitoring reports.</w:t>
      </w:r>
    </w:p>
    <w:p>
      <w:pPr>
        <w:pStyle w:val="Heading2"/>
      </w:pPr>
      <w:r>
        <w:t>5. Strategic &amp; Economic Implications if GSP+ Is Lost</w:t>
      </w:r>
    </w:p>
    <w:p>
      <w:r>
        <w:t>• Pakistan could face 6–12% tariffs on many exports, eroding its competitiveness in EU markets.</w:t>
      </w:r>
    </w:p>
    <w:p>
      <w:r>
        <w:t>• Job losses in labour‑intensive sectors like textiles, apparel, and leather could rise sharply.</w:t>
      </w:r>
    </w:p>
    <w:p>
      <w:r>
        <w:t>• Exporters may lose EU market share to competitors from other GSP+ or more competitive economies.</w:t>
      </w:r>
    </w:p>
    <w:p>
      <w:r>
        <w:t>• Losing GSP+ could hurt foreign investment and Pakistan’s trade reputation globally.</w:t>
      </w:r>
    </w:p>
    <w:p>
      <w:r>
        <w:t>• Retaining GSP+ incentivises continued reforms in labour rights, environment, and governance — ensuring long‑term sustainable trade growth.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